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9B" w:rsidRPr="0038008C" w:rsidRDefault="003B4574" w:rsidP="003B16C1">
      <w:pPr>
        <w:spacing w:line="240" w:lineRule="auto"/>
        <w:jc w:val="center"/>
        <w:rPr>
          <w:b/>
        </w:rPr>
      </w:pPr>
      <w:r w:rsidRPr="0038008C">
        <w:rPr>
          <w:b/>
        </w:rPr>
        <w:t>Response to Karl Rahner</w:t>
      </w:r>
      <w:r w:rsidR="0038008C" w:rsidRPr="0038008C">
        <w:rPr>
          <w:b/>
        </w:rPr>
        <w:t>’s “The Relation between Theology and Popular Religion”</w:t>
      </w:r>
    </w:p>
    <w:p w:rsidR="00746BC6" w:rsidRDefault="00746BC6" w:rsidP="00746BC6">
      <w:pPr>
        <w:spacing w:line="240" w:lineRule="auto"/>
        <w:jc w:val="left"/>
      </w:pPr>
    </w:p>
    <w:p w:rsidR="003B4574" w:rsidRDefault="00DE3119" w:rsidP="002349CB">
      <w:pPr>
        <w:pStyle w:val="ListParagraph"/>
        <w:numPr>
          <w:ilvl w:val="0"/>
          <w:numId w:val="6"/>
        </w:numPr>
        <w:spacing w:line="240" w:lineRule="auto"/>
        <w:jc w:val="left"/>
      </w:pPr>
      <w:r w:rsidRPr="007D7F27">
        <w:rPr>
          <w:b/>
        </w:rPr>
        <w:t>U.S. Latino/a Popular Catholicism</w:t>
      </w:r>
      <w:r w:rsidR="003B4574" w:rsidRPr="007D7F27">
        <w:rPr>
          <w:b/>
        </w:rPr>
        <w:t>: a particular expression of Popular Catholicism</w:t>
      </w:r>
    </w:p>
    <w:p w:rsidR="00DA5C53" w:rsidRDefault="00DE3119" w:rsidP="00DA5C53">
      <w:pPr>
        <w:pStyle w:val="ListParagraph"/>
        <w:numPr>
          <w:ilvl w:val="3"/>
          <w:numId w:val="2"/>
        </w:numPr>
        <w:spacing w:line="240" w:lineRule="auto"/>
        <w:jc w:val="left"/>
      </w:pPr>
      <w:r>
        <w:t xml:space="preserve">The Christianity brought to Latin America by religious missionaries and common Spanish folk was medieval, pre-Tridentine, and strongly influenced by the patristic notion of </w:t>
      </w:r>
      <w:proofErr w:type="spellStart"/>
      <w:r w:rsidRPr="003B4574">
        <w:rPr>
          <w:i/>
          <w:iCs/>
        </w:rPr>
        <w:t>traditio.</w:t>
      </w:r>
      <w:proofErr w:type="spellEnd"/>
    </w:p>
    <w:p w:rsidR="00835333" w:rsidRDefault="00DE3119" w:rsidP="00DA5C53">
      <w:pPr>
        <w:pStyle w:val="ListParagraph"/>
        <w:numPr>
          <w:ilvl w:val="3"/>
          <w:numId w:val="2"/>
        </w:numPr>
        <w:spacing w:line="240" w:lineRule="auto"/>
        <w:jc w:val="left"/>
      </w:pPr>
      <w:r>
        <w:t xml:space="preserve">Medieval Spanish </w:t>
      </w:r>
      <w:proofErr w:type="spellStart"/>
      <w:r w:rsidRPr="00DA5C53">
        <w:rPr>
          <w:i/>
          <w:iCs/>
        </w:rPr>
        <w:t>traditio</w:t>
      </w:r>
      <w:proofErr w:type="spellEnd"/>
      <w:r>
        <w:t>, very much still prese</w:t>
      </w:r>
      <w:r w:rsidR="004A6177">
        <w:t xml:space="preserve">nt in the faith expressions of </w:t>
      </w:r>
      <w:r>
        <w:t>Latinos today, not only involved a set of Christian bel</w:t>
      </w:r>
      <w:r w:rsidR="00D23736">
        <w:t>ie</w:t>
      </w:r>
      <w:r w:rsidR="00DA5C53">
        <w:t>fs and doctrines, but also</w:t>
      </w:r>
      <w:r>
        <w:t xml:space="preserve"> liturgical </w:t>
      </w:r>
      <w:r w:rsidR="00DA5C53">
        <w:t>and sacramental practices that evince an</w:t>
      </w:r>
      <w:r w:rsidR="00DA5C53" w:rsidRPr="00DA5C53">
        <w:t xml:space="preserve"> </w:t>
      </w:r>
      <w:r w:rsidR="00DA5C53" w:rsidRPr="00DA5C53">
        <w:t>attraction</w:t>
      </w:r>
      <w:r w:rsidR="00DA5C53">
        <w:t xml:space="preserve"> toward</w:t>
      </w:r>
      <w:r w:rsidR="00DA5C53" w:rsidRPr="00DA5C53">
        <w:t xml:space="preserve"> saints, shrines, relics, miracles and religious story telling. </w:t>
      </w:r>
    </w:p>
    <w:p w:rsidR="00B91B7A" w:rsidRDefault="00D23A90" w:rsidP="002349CB">
      <w:pPr>
        <w:pStyle w:val="ListParagraph"/>
        <w:numPr>
          <w:ilvl w:val="3"/>
          <w:numId w:val="2"/>
        </w:numPr>
        <w:spacing w:line="240" w:lineRule="auto"/>
        <w:jc w:val="left"/>
      </w:pPr>
      <w:r>
        <w:t>This popular form of</w:t>
      </w:r>
      <w:r w:rsidR="00D23736" w:rsidRPr="00D23736">
        <w:t xml:space="preserve"> Catholicism never underwent the sys</w:t>
      </w:r>
      <w:r w:rsidR="00B91B7A">
        <w:t>tematic standardization</w:t>
      </w:r>
      <w:r w:rsidR="00D23736" w:rsidRPr="00D23736">
        <w:t xml:space="preserve"> brought about by the Council of Trent </w:t>
      </w:r>
      <w:r w:rsidR="00B91B7A">
        <w:t>elsewhere in the Catholic world.</w:t>
      </w:r>
    </w:p>
    <w:p w:rsidR="002349CB" w:rsidRDefault="00B91B7A" w:rsidP="00D23A90">
      <w:pPr>
        <w:pStyle w:val="ListParagraph"/>
        <w:numPr>
          <w:ilvl w:val="3"/>
          <w:numId w:val="2"/>
        </w:numPr>
        <w:spacing w:line="240" w:lineRule="auto"/>
        <w:jc w:val="left"/>
      </w:pPr>
      <w:r>
        <w:t xml:space="preserve"> It often incorporated religious symbols from the sacred </w:t>
      </w:r>
      <w:r>
        <w:t>world of the conquered Amerindians and</w:t>
      </w:r>
      <w:r>
        <w:t xml:space="preserve">, later, </w:t>
      </w:r>
      <w:r>
        <w:t>the enslaved Africans</w:t>
      </w:r>
      <w:r>
        <w:t>.</w:t>
      </w:r>
    </w:p>
    <w:p w:rsidR="00D23A90" w:rsidRDefault="00D23A90" w:rsidP="00D23A90">
      <w:pPr>
        <w:pStyle w:val="ListParagraph"/>
        <w:spacing w:line="240" w:lineRule="auto"/>
        <w:ind w:left="1440"/>
        <w:jc w:val="left"/>
      </w:pPr>
    </w:p>
    <w:p w:rsidR="002349CB" w:rsidRDefault="00D23A90" w:rsidP="00DA5C53">
      <w:pPr>
        <w:pStyle w:val="ListParagraph"/>
        <w:numPr>
          <w:ilvl w:val="3"/>
          <w:numId w:val="2"/>
        </w:numPr>
        <w:spacing w:line="240" w:lineRule="auto"/>
        <w:jc w:val="left"/>
      </w:pPr>
      <w:r>
        <w:rPr>
          <w:u w:val="single"/>
        </w:rPr>
        <w:t>Latino/</w:t>
      </w:r>
      <w:proofErr w:type="gramStart"/>
      <w:r>
        <w:rPr>
          <w:u w:val="single"/>
        </w:rPr>
        <w:t>a  theologians</w:t>
      </w:r>
      <w:proofErr w:type="gramEnd"/>
      <w:r>
        <w:rPr>
          <w:u w:val="single"/>
        </w:rPr>
        <w:t xml:space="preserve"> define Popular Religiosity as:</w:t>
      </w:r>
      <w:r>
        <w:t xml:space="preserve"> t</w:t>
      </w:r>
      <w:r w:rsidR="002349CB">
        <w:t>he “set of experiences, beliefs, and rituals which</w:t>
      </w:r>
      <w:r w:rsidR="002349CB" w:rsidRPr="002349CB">
        <w:t xml:space="preserve"> </w:t>
      </w:r>
      <w:proofErr w:type="spellStart"/>
      <w:r w:rsidR="002349CB" w:rsidRPr="002349CB">
        <w:t>ecclesially</w:t>
      </w:r>
      <w:proofErr w:type="spellEnd"/>
      <w:r w:rsidR="002349CB" w:rsidRPr="002349CB">
        <w:t xml:space="preserve"> and socially peripheral groups </w:t>
      </w:r>
      <w:r w:rsidR="002349CB">
        <w:t xml:space="preserve">create and develop in their search for an access to God and salvation.” </w:t>
      </w:r>
      <w:r w:rsidR="00376C25">
        <w:t>(</w:t>
      </w:r>
      <w:r w:rsidR="002349CB">
        <w:t xml:space="preserve">O. </w:t>
      </w:r>
      <w:proofErr w:type="spellStart"/>
      <w:r w:rsidR="002349CB">
        <w:t>Espín</w:t>
      </w:r>
      <w:proofErr w:type="spellEnd"/>
      <w:r w:rsidR="002349CB">
        <w:t xml:space="preserve"> and S. </w:t>
      </w:r>
      <w:proofErr w:type="spellStart"/>
      <w:r w:rsidR="002349CB">
        <w:t>García</w:t>
      </w:r>
      <w:proofErr w:type="spellEnd"/>
      <w:r w:rsidR="002349CB">
        <w:t xml:space="preserve">, “Lilies of the Field: A Hispanic Theology of Providence and Human Responsibility,” </w:t>
      </w:r>
      <w:r w:rsidR="002349CB" w:rsidRPr="002349CB">
        <w:rPr>
          <w:i/>
        </w:rPr>
        <w:t>Proceedings of CTSA</w:t>
      </w:r>
      <w:r w:rsidR="002349CB">
        <w:t xml:space="preserve"> 44 (1989) 73)</w:t>
      </w:r>
    </w:p>
    <w:p w:rsidR="007D7F27" w:rsidRDefault="007D7F27" w:rsidP="004A6177">
      <w:pPr>
        <w:pStyle w:val="ListParagraph"/>
        <w:spacing w:line="240" w:lineRule="auto"/>
        <w:ind w:left="1800"/>
        <w:jc w:val="left"/>
      </w:pPr>
    </w:p>
    <w:p w:rsidR="007D077E" w:rsidRPr="007D077E" w:rsidRDefault="00D23736" w:rsidP="007D077E">
      <w:pPr>
        <w:pStyle w:val="ListParagraph"/>
        <w:numPr>
          <w:ilvl w:val="0"/>
          <w:numId w:val="6"/>
        </w:numPr>
        <w:spacing w:line="240" w:lineRule="auto"/>
        <w:jc w:val="left"/>
        <w:rPr>
          <w:b/>
        </w:rPr>
      </w:pPr>
      <w:r>
        <w:rPr>
          <w:b/>
        </w:rPr>
        <w:t xml:space="preserve">Nuances to </w:t>
      </w:r>
      <w:r w:rsidR="007D7F27" w:rsidRPr="007D7F27">
        <w:rPr>
          <w:b/>
        </w:rPr>
        <w:t xml:space="preserve"> Karl Rahner</w:t>
      </w:r>
      <w:r w:rsidR="00092B5E">
        <w:rPr>
          <w:b/>
        </w:rPr>
        <w:t xml:space="preserve"> </w:t>
      </w:r>
    </w:p>
    <w:p w:rsidR="00092B5E" w:rsidRPr="009B48DB" w:rsidRDefault="009B48DB" w:rsidP="00092B5E">
      <w:pPr>
        <w:pStyle w:val="ListParagraph"/>
        <w:spacing w:line="240" w:lineRule="auto"/>
        <w:jc w:val="left"/>
        <w:rPr>
          <w:u w:val="single"/>
        </w:rPr>
      </w:pPr>
      <w:r w:rsidRPr="009B48DB">
        <w:rPr>
          <w:u w:val="single"/>
        </w:rPr>
        <w:t>“P</w:t>
      </w:r>
      <w:r w:rsidR="00092B5E" w:rsidRPr="009B48DB">
        <w:rPr>
          <w:u w:val="single"/>
        </w:rPr>
        <w:t>eople” vs. “marginalized people”</w:t>
      </w:r>
    </w:p>
    <w:p w:rsidR="00447A22" w:rsidRPr="009B48DB" w:rsidRDefault="0038008C" w:rsidP="00447A22">
      <w:pPr>
        <w:pStyle w:val="ListParagraph"/>
        <w:numPr>
          <w:ilvl w:val="2"/>
          <w:numId w:val="7"/>
        </w:numPr>
        <w:spacing w:line="240" w:lineRule="auto"/>
        <w:jc w:val="left"/>
      </w:pPr>
      <w:r>
        <w:t>For Rahner the</w:t>
      </w:r>
      <w:r w:rsidR="00447A22" w:rsidRPr="009B48DB">
        <w:t xml:space="preserve"> </w:t>
      </w:r>
      <w:r>
        <w:t>sociological</w:t>
      </w:r>
      <w:r w:rsidR="00447A22" w:rsidRPr="009B48DB">
        <w:t xml:space="preserve"> term “people” </w:t>
      </w:r>
      <w:r w:rsidR="00092B5E" w:rsidRPr="009B48DB">
        <w:t xml:space="preserve">= </w:t>
      </w:r>
      <w:r w:rsidR="002F4A26">
        <w:t>people in general</w:t>
      </w:r>
    </w:p>
    <w:p w:rsidR="00092B5E" w:rsidRDefault="00447A22" w:rsidP="00092B5E">
      <w:pPr>
        <w:pStyle w:val="ListParagraph"/>
        <w:numPr>
          <w:ilvl w:val="2"/>
          <w:numId w:val="7"/>
        </w:numPr>
        <w:spacing w:line="240" w:lineRule="auto"/>
        <w:jc w:val="left"/>
      </w:pPr>
      <w:r w:rsidRPr="009B48DB">
        <w:t>For</w:t>
      </w:r>
      <w:r w:rsidR="002349CB">
        <w:t xml:space="preserve"> U.S.</w:t>
      </w:r>
      <w:r w:rsidRPr="009B48DB">
        <w:t xml:space="preserve"> Latino/a theologians the term “po</w:t>
      </w:r>
      <w:r w:rsidR="002F4A26">
        <w:t>pular” does not mean “widespread,</w:t>
      </w:r>
      <w:r w:rsidR="007D077E">
        <w:t xml:space="preserve">” </w:t>
      </w:r>
      <w:bookmarkStart w:id="0" w:name="_GoBack"/>
      <w:bookmarkEnd w:id="0"/>
      <w:r w:rsidRPr="009B48DB">
        <w:t>well-lik</w:t>
      </w:r>
      <w:r w:rsidR="002F4A26">
        <w:t>ed or just the “people</w:t>
      </w:r>
      <w:r w:rsidR="0038008C">
        <w:t>,” but those who are</w:t>
      </w:r>
      <w:r w:rsidRPr="009B48DB">
        <w:t xml:space="preserve"> marginalized, impoverished. </w:t>
      </w:r>
      <w:r w:rsidR="00A1223F">
        <w:t>The term has</w:t>
      </w:r>
      <w:r w:rsidRPr="009B48DB">
        <w:t xml:space="preserve"> a dialectical connotation.</w:t>
      </w:r>
    </w:p>
    <w:p w:rsidR="0038008C" w:rsidRPr="009B48DB" w:rsidRDefault="0038008C" w:rsidP="0038008C">
      <w:pPr>
        <w:pStyle w:val="ListParagraph"/>
        <w:spacing w:line="240" w:lineRule="auto"/>
        <w:ind w:left="1080"/>
        <w:jc w:val="left"/>
      </w:pPr>
    </w:p>
    <w:p w:rsidR="00092B5E" w:rsidRPr="009B48DB" w:rsidRDefault="009B48DB" w:rsidP="009B48DB">
      <w:pPr>
        <w:spacing w:line="240" w:lineRule="auto"/>
        <w:ind w:left="720"/>
        <w:jc w:val="left"/>
        <w:rPr>
          <w:u w:val="single"/>
        </w:rPr>
      </w:pPr>
      <w:r w:rsidRPr="009B48DB">
        <w:rPr>
          <w:u w:val="single"/>
        </w:rPr>
        <w:t>“I</w:t>
      </w:r>
      <w:r w:rsidR="00092B5E" w:rsidRPr="009B48DB">
        <w:rPr>
          <w:u w:val="single"/>
        </w:rPr>
        <w:t>n</w:t>
      </w:r>
      <w:r w:rsidRPr="009B48DB">
        <w:rPr>
          <w:u w:val="single"/>
        </w:rPr>
        <w:t>”</w:t>
      </w:r>
      <w:r w:rsidR="00092B5E" w:rsidRPr="009B48DB">
        <w:rPr>
          <w:u w:val="single"/>
        </w:rPr>
        <w:t xml:space="preserve"> the Church vs. at the </w:t>
      </w:r>
      <w:r w:rsidRPr="009B48DB">
        <w:rPr>
          <w:u w:val="single"/>
        </w:rPr>
        <w:t>“</w:t>
      </w:r>
      <w:r w:rsidR="00092B5E" w:rsidRPr="009B48DB">
        <w:rPr>
          <w:u w:val="single"/>
        </w:rPr>
        <w:t>margins</w:t>
      </w:r>
      <w:r w:rsidRPr="009B48DB">
        <w:rPr>
          <w:u w:val="single"/>
        </w:rPr>
        <w:t>”</w:t>
      </w:r>
      <w:r w:rsidR="00092B5E" w:rsidRPr="009B48DB">
        <w:rPr>
          <w:u w:val="single"/>
        </w:rPr>
        <w:t xml:space="preserve"> of the Church</w:t>
      </w:r>
    </w:p>
    <w:p w:rsidR="00092B5E" w:rsidRPr="009B48DB" w:rsidRDefault="00092B5E" w:rsidP="00092B5E">
      <w:pPr>
        <w:pStyle w:val="ListParagraph"/>
        <w:numPr>
          <w:ilvl w:val="2"/>
          <w:numId w:val="7"/>
        </w:numPr>
        <w:spacing w:line="240" w:lineRule="auto"/>
        <w:jc w:val="left"/>
      </w:pPr>
      <w:r w:rsidRPr="009B48DB">
        <w:t>Rahner speaks of popular religion as emerging from the practice of people</w:t>
      </w:r>
      <w:r w:rsidRPr="009B48DB">
        <w:rPr>
          <w:i/>
        </w:rPr>
        <w:t xml:space="preserve"> </w:t>
      </w:r>
      <w:r w:rsidRPr="00376C25">
        <w:rPr>
          <w:i/>
          <w:u w:val="single"/>
        </w:rPr>
        <w:t>in</w:t>
      </w:r>
      <w:r w:rsidRPr="009B48DB">
        <w:rPr>
          <w:i/>
        </w:rPr>
        <w:t xml:space="preserve"> </w:t>
      </w:r>
      <w:r w:rsidRPr="009B48DB">
        <w:t>the Church</w:t>
      </w:r>
    </w:p>
    <w:p w:rsidR="00D23A90" w:rsidRDefault="00092B5E" w:rsidP="00376C25">
      <w:pPr>
        <w:pStyle w:val="ListParagraph"/>
        <w:numPr>
          <w:ilvl w:val="2"/>
          <w:numId w:val="7"/>
        </w:numPr>
        <w:spacing w:line="240" w:lineRule="auto"/>
        <w:jc w:val="left"/>
      </w:pPr>
      <w:r w:rsidRPr="009B48DB">
        <w:t xml:space="preserve">Latino/a theologians stress </w:t>
      </w:r>
      <w:r w:rsidRPr="00D23A90">
        <w:rPr>
          <w:u w:val="single"/>
        </w:rPr>
        <w:t>the marginal character</w:t>
      </w:r>
      <w:r w:rsidRPr="009B48DB">
        <w:t xml:space="preserve"> of popular religion.</w:t>
      </w:r>
    </w:p>
    <w:p w:rsidR="000C70EA" w:rsidRDefault="00092B5E" w:rsidP="00376C25">
      <w:pPr>
        <w:pStyle w:val="ListParagraph"/>
        <w:numPr>
          <w:ilvl w:val="2"/>
          <w:numId w:val="7"/>
        </w:numPr>
        <w:spacing w:line="240" w:lineRule="auto"/>
        <w:jc w:val="left"/>
      </w:pPr>
      <w:r w:rsidRPr="009B48DB">
        <w:t xml:space="preserve"> Since marginalized people had</w:t>
      </w:r>
      <w:r w:rsidRPr="009B48DB">
        <w:rPr>
          <w:bCs/>
        </w:rPr>
        <w:t xml:space="preserve"> </w:t>
      </w:r>
      <w:r w:rsidRPr="009B48DB">
        <w:t xml:space="preserve">little access to the training and the doctrinal teaching </w:t>
      </w:r>
      <w:r w:rsidR="0038008C" w:rsidRPr="009B48DB">
        <w:t>of theologians</w:t>
      </w:r>
      <w:r w:rsidRPr="009B48DB">
        <w:t xml:space="preserve"> and the clergy, they</w:t>
      </w:r>
      <w:r w:rsidRPr="009B48DB">
        <w:rPr>
          <w:bCs/>
        </w:rPr>
        <w:t xml:space="preserve"> </w:t>
      </w:r>
      <w:r w:rsidRPr="009B48DB">
        <w:t>fashion alternative paths to adapt the official religion to their particular needs and circumstances</w:t>
      </w:r>
      <w:r w:rsidR="000C70EA">
        <w:t>.</w:t>
      </w:r>
    </w:p>
    <w:p w:rsidR="00092B5E" w:rsidRPr="004A6177" w:rsidRDefault="000C70EA" w:rsidP="004A6177">
      <w:pPr>
        <w:pStyle w:val="ListParagraph"/>
        <w:numPr>
          <w:ilvl w:val="2"/>
          <w:numId w:val="7"/>
        </w:numPr>
        <w:spacing w:line="240" w:lineRule="auto"/>
        <w:jc w:val="left"/>
      </w:pPr>
      <w:r>
        <w:t>Thus, p</w:t>
      </w:r>
      <w:r w:rsidRPr="000C70EA">
        <w:t xml:space="preserve">opular religion is both parallel to the </w:t>
      </w:r>
      <w:r w:rsidRPr="000C70EA">
        <w:rPr>
          <w:bCs/>
        </w:rPr>
        <w:t>‘</w:t>
      </w:r>
      <w:r w:rsidRPr="000C70EA">
        <w:t>official</w:t>
      </w:r>
      <w:r w:rsidRPr="000C70EA">
        <w:rPr>
          <w:bCs/>
        </w:rPr>
        <w:t>’</w:t>
      </w:r>
      <w:r w:rsidRPr="000C70EA">
        <w:t xml:space="preserve"> doctrinal and liturgical norm set up and controlled by the clergy</w:t>
      </w:r>
      <w:r w:rsidR="0038008C">
        <w:t>,</w:t>
      </w:r>
      <w:r w:rsidRPr="000C70EA">
        <w:t xml:space="preserve"> and somehow still connected to the normative version of the religion.</w:t>
      </w:r>
    </w:p>
    <w:p w:rsidR="00531DD2" w:rsidRDefault="00531DD2" w:rsidP="00531DD2">
      <w:pPr>
        <w:pStyle w:val="ListParagraph"/>
        <w:spacing w:line="240" w:lineRule="auto"/>
        <w:ind w:left="1080"/>
        <w:jc w:val="left"/>
      </w:pPr>
    </w:p>
    <w:p w:rsidR="007D077E" w:rsidRPr="007D077E" w:rsidRDefault="007D077E" w:rsidP="007D077E">
      <w:pPr>
        <w:pStyle w:val="ListParagraph"/>
        <w:numPr>
          <w:ilvl w:val="0"/>
          <w:numId w:val="6"/>
        </w:numPr>
        <w:spacing w:line="240" w:lineRule="auto"/>
        <w:jc w:val="left"/>
        <w:rPr>
          <w:b/>
          <w:u w:val="single"/>
        </w:rPr>
      </w:pPr>
      <w:r>
        <w:rPr>
          <w:b/>
        </w:rPr>
        <w:t xml:space="preserve">In Convergence with </w:t>
      </w:r>
      <w:proofErr w:type="spellStart"/>
      <w:r>
        <w:rPr>
          <w:b/>
        </w:rPr>
        <w:t>Rahner</w:t>
      </w:r>
      <w:proofErr w:type="spellEnd"/>
      <w:r w:rsidR="004A6177">
        <w:rPr>
          <w:b/>
        </w:rPr>
        <w:t xml:space="preserve">: </w:t>
      </w:r>
    </w:p>
    <w:p w:rsidR="004A6177" w:rsidRDefault="00572631" w:rsidP="004A6177">
      <w:pPr>
        <w:pStyle w:val="ListParagraph"/>
        <w:spacing w:line="240" w:lineRule="auto"/>
        <w:jc w:val="left"/>
        <w:rPr>
          <w:u w:val="single"/>
        </w:rPr>
      </w:pPr>
      <w:r>
        <w:rPr>
          <w:u w:val="single"/>
        </w:rPr>
        <w:t>Christian Theology is informed by Christian p</w:t>
      </w:r>
      <w:r w:rsidR="0038008C">
        <w:rPr>
          <w:u w:val="single"/>
        </w:rPr>
        <w:t>raxis</w:t>
      </w:r>
    </w:p>
    <w:p w:rsidR="007D077E" w:rsidRDefault="009F4299" w:rsidP="007D077E">
      <w:pPr>
        <w:pStyle w:val="ListParagraph"/>
        <w:numPr>
          <w:ilvl w:val="2"/>
          <w:numId w:val="11"/>
        </w:numPr>
        <w:spacing w:line="240" w:lineRule="auto"/>
        <w:jc w:val="left"/>
      </w:pPr>
      <w:r>
        <w:t>U.S. Latino theologian understand popular devotional practices as having a revelatory dimension</w:t>
      </w:r>
      <w:r w:rsidR="00AD6E51">
        <w:t xml:space="preserve">. Thus, like </w:t>
      </w:r>
      <w:proofErr w:type="spellStart"/>
      <w:r w:rsidR="00AD6E51">
        <w:t>Rahner</w:t>
      </w:r>
      <w:proofErr w:type="spellEnd"/>
      <w:r w:rsidR="00AD6E51">
        <w:t>, they</w:t>
      </w:r>
      <w:r w:rsidR="002F4A26">
        <w:t xml:space="preserve"> have come to understand the praxis of popular religion as an essential </w:t>
      </w:r>
      <w:r w:rsidR="002F4A26" w:rsidRPr="00AD6E51">
        <w:rPr>
          <w:i/>
        </w:rPr>
        <w:t xml:space="preserve">locus </w:t>
      </w:r>
      <w:proofErr w:type="spellStart"/>
      <w:r w:rsidR="002F4A26" w:rsidRPr="00AD6E51">
        <w:rPr>
          <w:i/>
        </w:rPr>
        <w:t>theologicus</w:t>
      </w:r>
      <w:proofErr w:type="spellEnd"/>
      <w:r w:rsidR="002F4A26" w:rsidRPr="00AD6E51">
        <w:rPr>
          <w:i/>
        </w:rPr>
        <w:t xml:space="preserve"> </w:t>
      </w:r>
      <w:r w:rsidR="002F4A26">
        <w:t xml:space="preserve">for </w:t>
      </w:r>
      <w:r w:rsidR="00AD6E51">
        <w:t xml:space="preserve">their </w:t>
      </w:r>
      <w:r w:rsidR="002F4A26">
        <w:t>theology</w:t>
      </w:r>
      <w:r>
        <w:t>.</w:t>
      </w:r>
    </w:p>
    <w:p w:rsidR="007D077E" w:rsidRPr="007D077E" w:rsidRDefault="007D077E" w:rsidP="007D077E">
      <w:pPr>
        <w:pStyle w:val="ListParagraph"/>
        <w:numPr>
          <w:ilvl w:val="2"/>
          <w:numId w:val="11"/>
        </w:numPr>
        <w:spacing w:line="240" w:lineRule="auto"/>
        <w:jc w:val="left"/>
      </w:pPr>
      <w:r>
        <w:t xml:space="preserve"> </w:t>
      </w:r>
      <w:r>
        <w:t xml:space="preserve">“Every devotional practice in </w:t>
      </w:r>
      <w:proofErr w:type="spellStart"/>
      <w:r w:rsidRPr="00A633C9">
        <w:rPr>
          <w:i/>
        </w:rPr>
        <w:t>religiosidad</w:t>
      </w:r>
      <w:proofErr w:type="spellEnd"/>
      <w:r w:rsidRPr="00A633C9">
        <w:rPr>
          <w:i/>
        </w:rPr>
        <w:t xml:space="preserve"> popular</w:t>
      </w:r>
      <w:r>
        <w:t xml:space="preserve"> has a certain amount of symbolism: significant event, gesture, objec</w:t>
      </w:r>
      <w:r>
        <w:t>t, place and the like…</w:t>
      </w:r>
      <w:r>
        <w:t xml:space="preserve"> </w:t>
      </w:r>
      <w:r>
        <w:t>these symbols have</w:t>
      </w:r>
      <w:r>
        <w:t xml:space="preserve"> a revelatory dimension.” (</w:t>
      </w:r>
      <w:proofErr w:type="spellStart"/>
      <w:r>
        <w:t>García</w:t>
      </w:r>
      <w:proofErr w:type="spellEnd"/>
      <w:r>
        <w:t xml:space="preserve"> “A Hispanic Approach to Trinitarian Theology,” 116).</w:t>
      </w:r>
    </w:p>
    <w:p w:rsidR="002F4A26" w:rsidRPr="00A75983" w:rsidRDefault="00AD6E51" w:rsidP="00A75983">
      <w:pPr>
        <w:pStyle w:val="ListParagraph"/>
        <w:numPr>
          <w:ilvl w:val="2"/>
          <w:numId w:val="12"/>
        </w:numPr>
        <w:spacing w:line="240" w:lineRule="auto"/>
        <w:jc w:val="left"/>
        <w:rPr>
          <w:u w:val="single"/>
        </w:rPr>
      </w:pPr>
      <w:r>
        <w:t xml:space="preserve"> </w:t>
      </w:r>
      <w:r w:rsidR="00163B58">
        <w:t xml:space="preserve">Latino/a theologians advance a robust interpretation </w:t>
      </w:r>
      <w:r w:rsidR="007C74E0">
        <w:t>of praxis</w:t>
      </w:r>
      <w:r w:rsidR="00163B58">
        <w:t xml:space="preserve"> </w:t>
      </w:r>
      <w:r w:rsidR="007C74E0">
        <w:t>that incorporates</w:t>
      </w:r>
      <w:r w:rsidR="00BC6204">
        <w:t>: “</w:t>
      </w:r>
      <w:r w:rsidR="0097725D">
        <w:t>affective/ aesthetic imagination</w:t>
      </w:r>
      <w:r w:rsidR="00BC6204">
        <w:t>, the rational intellect</w:t>
      </w:r>
      <w:r w:rsidR="0097725D">
        <w:t>, an</w:t>
      </w:r>
      <w:r w:rsidR="00BC6204">
        <w:t>d ethical-political commitments</w:t>
      </w:r>
      <w:r w:rsidR="0097725D">
        <w:t>.</w:t>
      </w:r>
      <w:r w:rsidR="00A75983">
        <w:t>” (</w:t>
      </w:r>
      <w:proofErr w:type="spellStart"/>
      <w:r w:rsidR="00A75983">
        <w:t>Goizueta</w:t>
      </w:r>
      <w:proofErr w:type="spellEnd"/>
      <w:r w:rsidR="00A75983">
        <w:t xml:space="preserve">, </w:t>
      </w:r>
      <w:r w:rsidR="00BC6204">
        <w:t>264).</w:t>
      </w:r>
    </w:p>
    <w:p w:rsidR="00376C25" w:rsidRPr="007D077E" w:rsidRDefault="00376C25" w:rsidP="007D077E">
      <w:pPr>
        <w:spacing w:line="240" w:lineRule="auto"/>
        <w:jc w:val="left"/>
        <w:rPr>
          <w:b/>
        </w:rPr>
      </w:pPr>
    </w:p>
    <w:p w:rsidR="004A6177" w:rsidRPr="00376C25" w:rsidRDefault="00376C25" w:rsidP="00376C25">
      <w:pPr>
        <w:spacing w:line="240" w:lineRule="auto"/>
        <w:jc w:val="left"/>
        <w:rPr>
          <w:b/>
          <w:u w:val="single"/>
        </w:rPr>
      </w:pPr>
      <w:r>
        <w:t>`</w:t>
      </w:r>
      <w:r>
        <w:tab/>
      </w:r>
      <w:r w:rsidR="004A6177" w:rsidRPr="00376C25">
        <w:rPr>
          <w:u w:val="single"/>
        </w:rPr>
        <w:t xml:space="preserve">Popular religion and the </w:t>
      </w:r>
      <w:proofErr w:type="spellStart"/>
      <w:r w:rsidR="004A6177" w:rsidRPr="00376C25">
        <w:rPr>
          <w:i/>
          <w:u w:val="single"/>
        </w:rPr>
        <w:t>sensus</w:t>
      </w:r>
      <w:proofErr w:type="spellEnd"/>
      <w:r w:rsidR="004A6177" w:rsidRPr="00376C25">
        <w:rPr>
          <w:i/>
          <w:u w:val="single"/>
        </w:rPr>
        <w:t xml:space="preserve"> </w:t>
      </w:r>
      <w:proofErr w:type="spellStart"/>
      <w:r w:rsidR="004A6177" w:rsidRPr="00376C25">
        <w:rPr>
          <w:i/>
          <w:u w:val="single"/>
        </w:rPr>
        <w:t>fidelium</w:t>
      </w:r>
      <w:proofErr w:type="spellEnd"/>
    </w:p>
    <w:p w:rsidR="004A6177" w:rsidRDefault="004A6177" w:rsidP="004A6177">
      <w:pPr>
        <w:pStyle w:val="ListParagraph"/>
        <w:numPr>
          <w:ilvl w:val="2"/>
          <w:numId w:val="9"/>
        </w:numPr>
        <w:spacing w:line="240" w:lineRule="auto"/>
        <w:jc w:val="left"/>
      </w:pPr>
      <w:r>
        <w:t xml:space="preserve">In so far as Popular Catholicism expresses the </w:t>
      </w:r>
      <w:r>
        <w:rPr>
          <w:i/>
          <w:iCs/>
        </w:rPr>
        <w:t>living witness of the faith</w:t>
      </w:r>
      <w:r>
        <w:t xml:space="preserve"> of the Latino people, it offers a </w:t>
      </w:r>
      <w:r w:rsidRPr="00BA0892">
        <w:rPr>
          <w:u w:val="single"/>
        </w:rPr>
        <w:t xml:space="preserve">privileged locus for understanding Latino’s </w:t>
      </w:r>
      <w:r w:rsidRPr="00BA0892">
        <w:rPr>
          <w:i/>
          <w:iCs/>
          <w:u w:val="single"/>
        </w:rPr>
        <w:t>sensus fidelium</w:t>
      </w:r>
      <w:r>
        <w:t xml:space="preserve">. </w:t>
      </w:r>
    </w:p>
    <w:p w:rsidR="00746BC6" w:rsidRPr="009B776F" w:rsidRDefault="004A6177" w:rsidP="00A1223F">
      <w:pPr>
        <w:pStyle w:val="ListParagraph"/>
        <w:numPr>
          <w:ilvl w:val="2"/>
          <w:numId w:val="9"/>
        </w:numPr>
        <w:spacing w:line="240" w:lineRule="auto"/>
        <w:jc w:val="left"/>
      </w:pPr>
      <w:r>
        <w:t xml:space="preserve">Although Popular Catholicism is not always commensurable with the people’s </w:t>
      </w:r>
      <w:r>
        <w:rPr>
          <w:i/>
          <w:iCs/>
        </w:rPr>
        <w:t>sensus fidelium</w:t>
      </w:r>
      <w:r>
        <w:t xml:space="preserve">, it is </w:t>
      </w:r>
      <w:r w:rsidRPr="00BA0892">
        <w:rPr>
          <w:u w:val="single"/>
        </w:rPr>
        <w:t>the authentic bearer of this sense or intuition in the faith of the people.</w:t>
      </w:r>
      <w:r w:rsidR="00A1223F" w:rsidRPr="009B776F">
        <w:t xml:space="preserve"> </w:t>
      </w:r>
    </w:p>
    <w:sectPr w:rsidR="00746BC6" w:rsidRPr="009B776F" w:rsidSect="00531D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B4" w:rsidRDefault="000C52B4" w:rsidP="00835333">
      <w:pPr>
        <w:spacing w:line="240" w:lineRule="auto"/>
      </w:pPr>
      <w:r>
        <w:separator/>
      </w:r>
    </w:p>
  </w:endnote>
  <w:endnote w:type="continuationSeparator" w:id="0">
    <w:p w:rsidR="000C52B4" w:rsidRDefault="000C52B4" w:rsidP="00835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B4" w:rsidRDefault="000C52B4" w:rsidP="00835333">
      <w:pPr>
        <w:spacing w:line="240" w:lineRule="auto"/>
      </w:pPr>
      <w:r>
        <w:separator/>
      </w:r>
    </w:p>
  </w:footnote>
  <w:footnote w:type="continuationSeparator" w:id="0">
    <w:p w:rsidR="000C52B4" w:rsidRDefault="000C52B4" w:rsidP="008353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62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18252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5B6130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79A1C73"/>
    <w:multiLevelType w:val="hybridMultilevel"/>
    <w:tmpl w:val="86AC0360"/>
    <w:lvl w:ilvl="0" w:tplc="59DE0A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7713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F3B1E1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16D2E5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8C502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3465EC2"/>
    <w:multiLevelType w:val="multilevel"/>
    <w:tmpl w:val="FBA4607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4C713D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9851F68"/>
    <w:multiLevelType w:val="hybridMultilevel"/>
    <w:tmpl w:val="2400910A"/>
    <w:lvl w:ilvl="0" w:tplc="521A04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C640CB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4A40A4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80"/>
    <w:rsid w:val="00092B5E"/>
    <w:rsid w:val="000C52B4"/>
    <w:rsid w:val="000C70EA"/>
    <w:rsid w:val="00163B58"/>
    <w:rsid w:val="001F2E9C"/>
    <w:rsid w:val="00206738"/>
    <w:rsid w:val="002349CB"/>
    <w:rsid w:val="002E3697"/>
    <w:rsid w:val="002F4A26"/>
    <w:rsid w:val="003112FC"/>
    <w:rsid w:val="00376C25"/>
    <w:rsid w:val="0038008C"/>
    <w:rsid w:val="003B16C1"/>
    <w:rsid w:val="003B4574"/>
    <w:rsid w:val="003C0E80"/>
    <w:rsid w:val="00447A22"/>
    <w:rsid w:val="004A6177"/>
    <w:rsid w:val="004F09F9"/>
    <w:rsid w:val="00531DD2"/>
    <w:rsid w:val="00572631"/>
    <w:rsid w:val="0061056F"/>
    <w:rsid w:val="00663A44"/>
    <w:rsid w:val="006C7D30"/>
    <w:rsid w:val="0072390B"/>
    <w:rsid w:val="00746BC6"/>
    <w:rsid w:val="007C74E0"/>
    <w:rsid w:val="007D077E"/>
    <w:rsid w:val="007D7F27"/>
    <w:rsid w:val="00835333"/>
    <w:rsid w:val="0097725D"/>
    <w:rsid w:val="009B48DB"/>
    <w:rsid w:val="009B776F"/>
    <w:rsid w:val="009F4299"/>
    <w:rsid w:val="00A1223F"/>
    <w:rsid w:val="00A633C9"/>
    <w:rsid w:val="00A75983"/>
    <w:rsid w:val="00A9459B"/>
    <w:rsid w:val="00AA4987"/>
    <w:rsid w:val="00AD6E51"/>
    <w:rsid w:val="00B91B7A"/>
    <w:rsid w:val="00BA0892"/>
    <w:rsid w:val="00BC6204"/>
    <w:rsid w:val="00BF3904"/>
    <w:rsid w:val="00D23736"/>
    <w:rsid w:val="00D23A90"/>
    <w:rsid w:val="00D33731"/>
    <w:rsid w:val="00D53EBC"/>
    <w:rsid w:val="00DA5C53"/>
    <w:rsid w:val="00DE3119"/>
    <w:rsid w:val="00E3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E8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835333"/>
    <w:pPr>
      <w:spacing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3533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3533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3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7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7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7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E8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835333"/>
    <w:pPr>
      <w:spacing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3533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3533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3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7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7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7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02B3-E768-4EA4-9AEC-AAE500E8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Orfilio Valiente</dc:creator>
  <cp:lastModifiedBy>Orfilio Valiente</cp:lastModifiedBy>
  <cp:revision>4</cp:revision>
  <cp:lastPrinted>2016-06-03T15:48:00Z</cp:lastPrinted>
  <dcterms:created xsi:type="dcterms:W3CDTF">2016-06-10T19:40:00Z</dcterms:created>
  <dcterms:modified xsi:type="dcterms:W3CDTF">2016-06-10T20:16:00Z</dcterms:modified>
</cp:coreProperties>
</file>